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0993" w14:textId="77777777" w:rsidR="004F00F5" w:rsidRPr="00507623" w:rsidRDefault="004F00F5" w:rsidP="00507623">
      <w:pPr>
        <w:pStyle w:val="Legenda"/>
        <w:tabs>
          <w:tab w:val="left" w:pos="426"/>
        </w:tabs>
        <w:spacing w:after="0"/>
        <w:jc w:val="both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12473322" w14:textId="77777777" w:rsidR="00F27A3F" w:rsidRPr="00507623" w:rsidRDefault="00086F40" w:rsidP="00507623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Adendo 12</w:t>
      </w:r>
      <w:r w:rsidR="00507623"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F27A3F"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ENQUADRAMENTO NA CONDIÇÃO DE MICROEMPR</w:t>
      </w:r>
      <w:r w:rsidR="00F11D7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ESA OU EMPRESA DE PEQUENO PORTE</w:t>
      </w:r>
    </w:p>
    <w:p w14:paraId="50815407" w14:textId="77777777" w:rsidR="00F27A3F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0C815E9F" w14:textId="77777777" w:rsidR="00F11D79" w:rsidRPr="00507623" w:rsidRDefault="00F11D79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5A17B794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À</w:t>
      </w:r>
    </w:p>
    <w:p w14:paraId="5AEA7CFC" w14:textId="77777777" w:rsidR="00F27A3F" w:rsidRPr="004E5F06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4E5F06">
        <w:rPr>
          <w:rFonts w:asciiTheme="minorHAnsi" w:hAnsiTheme="minorHAnsi"/>
          <w:sz w:val="24"/>
          <w:szCs w:val="24"/>
          <w:lang w:val="pt-PT"/>
        </w:rPr>
        <w:t xml:space="preserve">Companhia Potiguar de Gás </w:t>
      </w:r>
      <w:r w:rsidR="00507623" w:rsidRPr="004E5F06">
        <w:rPr>
          <w:rFonts w:asciiTheme="minorHAnsi" w:hAnsiTheme="minorHAnsi"/>
          <w:sz w:val="24"/>
          <w:szCs w:val="24"/>
          <w:lang w:val="pt-PT"/>
        </w:rPr>
        <w:t>(</w:t>
      </w:r>
      <w:r w:rsidRPr="004E5F06">
        <w:rPr>
          <w:rFonts w:asciiTheme="minorHAnsi" w:hAnsiTheme="minorHAnsi"/>
          <w:sz w:val="24"/>
          <w:szCs w:val="24"/>
          <w:lang w:val="pt-PT"/>
        </w:rPr>
        <w:t>POTIGÁS</w:t>
      </w:r>
      <w:r w:rsidR="00507623" w:rsidRPr="004E5F06">
        <w:rPr>
          <w:rFonts w:asciiTheme="minorHAnsi" w:hAnsiTheme="minorHAnsi"/>
          <w:sz w:val="24"/>
          <w:szCs w:val="24"/>
          <w:lang w:val="pt-PT"/>
        </w:rPr>
        <w:t>)</w:t>
      </w:r>
    </w:p>
    <w:p w14:paraId="70C9AFAD" w14:textId="77777777" w:rsidR="00F27A3F" w:rsidRPr="004E5F06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046581C7" w14:textId="36915A32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4E5F06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="00801D83" w:rsidRPr="004E5F06">
        <w:rPr>
          <w:rFonts w:asciiTheme="minorHAnsi" w:hAnsiTheme="minorHAnsi"/>
          <w:b/>
          <w:sz w:val="24"/>
          <w:szCs w:val="24"/>
          <w:lang w:val="pt-PT"/>
        </w:rPr>
        <w:t xml:space="preserve">Licitação Presencial </w:t>
      </w:r>
      <w:r w:rsidR="00507623" w:rsidRPr="004E5F06">
        <w:rPr>
          <w:rFonts w:asciiTheme="minorHAnsi" w:hAnsiTheme="minorHAnsi"/>
          <w:b/>
          <w:sz w:val="24"/>
          <w:szCs w:val="24"/>
          <w:lang w:val="pt-PT"/>
        </w:rPr>
        <w:t xml:space="preserve">– LP Nº </w:t>
      </w:r>
      <w:r w:rsidR="004E5F06" w:rsidRPr="004E5F06">
        <w:rPr>
          <w:rFonts w:asciiTheme="minorHAnsi" w:hAnsiTheme="minorHAnsi"/>
          <w:b/>
          <w:sz w:val="24"/>
          <w:szCs w:val="24"/>
          <w:lang w:val="pt-PT"/>
        </w:rPr>
        <w:t>006</w:t>
      </w:r>
      <w:r w:rsidR="00801D83" w:rsidRPr="004E5F06">
        <w:rPr>
          <w:rFonts w:asciiTheme="minorHAnsi" w:hAnsiTheme="minorHAnsi"/>
          <w:b/>
          <w:sz w:val="24"/>
          <w:szCs w:val="24"/>
          <w:lang w:val="pt-PT"/>
        </w:rPr>
        <w:t>/20</w:t>
      </w:r>
      <w:r w:rsidR="004E5F06" w:rsidRPr="004E5F06">
        <w:rPr>
          <w:rFonts w:asciiTheme="minorHAnsi" w:hAnsiTheme="minorHAnsi"/>
          <w:b/>
          <w:sz w:val="24"/>
          <w:szCs w:val="24"/>
          <w:lang w:val="pt-PT"/>
        </w:rPr>
        <w:t>22</w:t>
      </w:r>
      <w:r w:rsidR="00507623" w:rsidRPr="004E5F06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45306192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C1BF34E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0751EC4E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Para os fins do tratamento diferenciado e favorecido de que determina a Lei Complementar n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123/</w:t>
      </w:r>
      <w:r w:rsidR="00507623">
        <w:rPr>
          <w:rFonts w:asciiTheme="minorHAnsi" w:hAnsiTheme="minorHAnsi"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sz w:val="24"/>
          <w:szCs w:val="24"/>
          <w:lang w:val="pt-PT"/>
        </w:rPr>
        <w:t>06, declaramos:</w:t>
      </w:r>
    </w:p>
    <w:p w14:paraId="6CE30E47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5DA79E7F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(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) Que estamos enquadrados, na data designada para o início da sessão pública, na condição </w:t>
      </w:r>
      <w:r w:rsidRPr="00507623">
        <w:rPr>
          <w:rFonts w:asciiTheme="minorHAnsi" w:hAnsiTheme="minorHAnsi"/>
          <w:bCs/>
          <w:sz w:val="24"/>
          <w:szCs w:val="24"/>
          <w:lang w:val="pt-PT"/>
        </w:rPr>
        <w:t>de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</w:t>
      </w:r>
      <w:r w:rsidR="00507623" w:rsidRPr="00507623">
        <w:rPr>
          <w:rFonts w:asciiTheme="minorHAnsi" w:hAnsiTheme="minorHAnsi"/>
          <w:b/>
          <w:bCs/>
          <w:sz w:val="24"/>
          <w:szCs w:val="24"/>
          <w:lang w:val="pt-PT"/>
        </w:rPr>
        <w:t>MICROEMPRESA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</w:t>
      </w:r>
      <w:r w:rsidRPr="00507623">
        <w:rPr>
          <w:rFonts w:asciiTheme="minorHAnsi" w:hAnsiTheme="minorHAnsi"/>
          <w:sz w:val="24"/>
          <w:szCs w:val="24"/>
          <w:lang w:val="pt-PT"/>
        </w:rPr>
        <w:t>e que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não estamos incursos nas vedações a que se reporta o §4º do art. 3º da Lei complementar nº 123/</w:t>
      </w:r>
      <w:r w:rsidR="00507623">
        <w:rPr>
          <w:rFonts w:asciiTheme="minorHAnsi" w:hAnsiTheme="minorHAnsi"/>
          <w:b/>
          <w:bCs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>06</w:t>
      </w:r>
      <w:r w:rsidRPr="00507623">
        <w:rPr>
          <w:rFonts w:asciiTheme="minorHAnsi" w:hAnsiTheme="minorHAnsi"/>
          <w:sz w:val="24"/>
          <w:szCs w:val="24"/>
          <w:lang w:val="pt-PT"/>
        </w:rPr>
        <w:t>.</w:t>
      </w:r>
    </w:p>
    <w:p w14:paraId="02784CC6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5C260B37" w14:textId="77777777" w:rsidR="00F27A3F" w:rsidRPr="00507623" w:rsidRDefault="00F27A3F" w:rsidP="00507623">
      <w:pPr>
        <w:jc w:val="both"/>
        <w:rPr>
          <w:rFonts w:asciiTheme="minorHAnsi" w:hAnsiTheme="minorHAnsi"/>
          <w:b/>
          <w:bCs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 xml:space="preserve">( 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) Que estamos enquadrados, na data designada para o início da sessão pública, na condição </w:t>
      </w:r>
      <w:r w:rsidRPr="00507623">
        <w:rPr>
          <w:rFonts w:asciiTheme="minorHAnsi" w:hAnsiTheme="minorHAnsi"/>
          <w:bCs/>
          <w:sz w:val="24"/>
          <w:szCs w:val="24"/>
          <w:lang w:val="pt-PT"/>
        </w:rPr>
        <w:t xml:space="preserve">de </w:t>
      </w:r>
      <w:r w:rsidR="00507623"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EMPRESA DE PEQUENO PORTE </w:t>
      </w:r>
      <w:r w:rsidRPr="00507623">
        <w:rPr>
          <w:rFonts w:asciiTheme="minorHAnsi" w:hAnsiTheme="minorHAnsi"/>
          <w:sz w:val="24"/>
          <w:szCs w:val="24"/>
          <w:lang w:val="pt-PT"/>
        </w:rPr>
        <w:t>e que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não estamos incursos nas vedações a que se reporta o §4º do art. 3º da Lei complementar nº 123/</w:t>
      </w:r>
      <w:r w:rsidR="00507623">
        <w:rPr>
          <w:rFonts w:asciiTheme="minorHAnsi" w:hAnsiTheme="minorHAnsi"/>
          <w:b/>
          <w:bCs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>06.</w:t>
      </w:r>
    </w:p>
    <w:p w14:paraId="3A891B2B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38E41777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Declaramos ainda que, em atendimento às exigências de habilitação, para efeito do §1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do art. 43 da Lei complementar n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123/</w:t>
      </w:r>
      <w:r w:rsidR="00B31351">
        <w:rPr>
          <w:rFonts w:asciiTheme="minorHAnsi" w:hAnsiTheme="minorHAnsi"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sz w:val="24"/>
          <w:szCs w:val="24"/>
          <w:lang w:val="pt-PT"/>
        </w:rPr>
        <w:t>06, havendo restrição na nossa regularidade fiscal, e não apresentação da comprovação desta regularidade no prazo máximo de 0</w:t>
      </w:r>
      <w:r w:rsidR="002C200B" w:rsidRPr="00507623">
        <w:rPr>
          <w:rFonts w:asciiTheme="minorHAnsi" w:hAnsiTheme="minorHAnsi"/>
          <w:sz w:val="24"/>
          <w:szCs w:val="24"/>
          <w:lang w:val="pt-PT"/>
        </w:rPr>
        <w:t>5 (cinco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) dias úteis, a contar do momento da declaração do vencedor, prorrogáveis por igual período, a critério da </w:t>
      </w:r>
      <w:r w:rsidR="00B31351" w:rsidRPr="00507623">
        <w:rPr>
          <w:rFonts w:asciiTheme="minorHAnsi" w:hAnsiTheme="minorHAnsi"/>
          <w:sz w:val="24"/>
          <w:szCs w:val="24"/>
          <w:lang w:val="pt-PT"/>
        </w:rPr>
        <w:t>POTIGÁS</w:t>
      </w:r>
      <w:r w:rsidRPr="00507623">
        <w:rPr>
          <w:rFonts w:asciiTheme="minorHAnsi" w:hAnsiTheme="minorHAnsi"/>
          <w:sz w:val="24"/>
          <w:szCs w:val="24"/>
          <w:lang w:val="pt-PT"/>
        </w:rPr>
        <w:t>, decairá o nosso direito à contratação, sem prejuízo das sanções cabíveis.</w:t>
      </w:r>
    </w:p>
    <w:p w14:paraId="2164F7B7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397FE5E5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7AA367CA" w14:textId="77777777" w:rsidR="00F27A3F" w:rsidRPr="00507623" w:rsidRDefault="00507623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</w:rPr>
        <w:t>Local, [...] de [...] de 20[...]</w:t>
      </w:r>
    </w:p>
    <w:p w14:paraId="69D1BC46" w14:textId="77777777" w:rsidR="00F27A3F" w:rsidRPr="00507623" w:rsidRDefault="00F27A3F" w:rsidP="00507623">
      <w:pPr>
        <w:jc w:val="both"/>
        <w:rPr>
          <w:rFonts w:asciiTheme="minorHAnsi" w:hAnsiTheme="minorHAnsi"/>
          <w:i/>
          <w:sz w:val="24"/>
          <w:szCs w:val="24"/>
          <w:lang w:val="pt-PT"/>
        </w:rPr>
      </w:pPr>
    </w:p>
    <w:p w14:paraId="2E30A811" w14:textId="77777777" w:rsidR="00F27A3F" w:rsidRPr="00507623" w:rsidRDefault="00507623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[Responsável Legal da</w:t>
      </w:r>
      <w:r w:rsidR="00F27A3F" w:rsidRPr="00507623">
        <w:rPr>
          <w:rFonts w:asciiTheme="minorHAnsi" w:hAnsiTheme="minorHAnsi"/>
          <w:sz w:val="24"/>
          <w:szCs w:val="24"/>
          <w:lang w:val="pt-PT"/>
        </w:rPr>
        <w:t xml:space="preserve"> licitante]</w:t>
      </w:r>
    </w:p>
    <w:p w14:paraId="1BAC5777" w14:textId="77777777" w:rsidR="00F27A3F" w:rsidRPr="00507623" w:rsidRDefault="00F27A3F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(Assinatura com firma reconhecida ou semelhante à firmada no contrato social)</w:t>
      </w:r>
    </w:p>
    <w:p w14:paraId="3DA4280D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</w:rPr>
      </w:pPr>
    </w:p>
    <w:sectPr w:rsidR="00F27A3F" w:rsidRPr="00507623" w:rsidSect="00645597">
      <w:headerReference w:type="default" r:id="rId7"/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1839" w14:textId="77777777" w:rsidR="005448BD" w:rsidRDefault="005448BD">
      <w:r>
        <w:separator/>
      </w:r>
    </w:p>
  </w:endnote>
  <w:endnote w:type="continuationSeparator" w:id="0">
    <w:p w14:paraId="56BF8DAF" w14:textId="77777777" w:rsidR="005448BD" w:rsidRDefault="005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6DCA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60EC" w14:textId="77777777" w:rsidR="005448BD" w:rsidRDefault="005448BD">
      <w:r>
        <w:separator/>
      </w:r>
    </w:p>
  </w:footnote>
  <w:footnote w:type="continuationSeparator" w:id="0">
    <w:p w14:paraId="6FC081E5" w14:textId="77777777" w:rsidR="005448BD" w:rsidRDefault="0054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6700" w14:textId="77777777" w:rsidR="002720F1" w:rsidRDefault="002720F1">
    <w:pPr>
      <w:pStyle w:val="Cabealho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1A1054C2" w14:textId="77777777">
      <w:trPr>
        <w:cantSplit/>
        <w:trHeight w:val="1124"/>
      </w:trPr>
      <w:tc>
        <w:tcPr>
          <w:tcW w:w="3686" w:type="dxa"/>
          <w:vAlign w:val="center"/>
        </w:tcPr>
        <w:p w14:paraId="4BC0C811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35DA35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85pt;height:38.2pt" fillcolor="window">
                <v:imagedata r:id="rId1" o:title=""/>
              </v:shape>
              <o:OLEObject Type="Embed" ProgID="CorelDraw.Graphic.8" ShapeID="_x0000_i1025" DrawAspect="Content" ObjectID="_1722166438" r:id="rId2"/>
            </w:object>
          </w:r>
        </w:p>
        <w:p w14:paraId="3DC81DF0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4131559B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1CADF7D9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5909FFD2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6FA7F9C5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1A25FCA5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3E5A0601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1EA539D2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43A7DE84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7F90520A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1137334790">
    <w:abstractNumId w:val="16"/>
  </w:num>
  <w:num w:numId="2" w16cid:durableId="1567447867">
    <w:abstractNumId w:val="2"/>
  </w:num>
  <w:num w:numId="3" w16cid:durableId="1713069391">
    <w:abstractNumId w:val="13"/>
  </w:num>
  <w:num w:numId="4" w16cid:durableId="723139581">
    <w:abstractNumId w:val="4"/>
  </w:num>
  <w:num w:numId="5" w16cid:durableId="1780494035">
    <w:abstractNumId w:val="26"/>
  </w:num>
  <w:num w:numId="6" w16cid:durableId="1253121956">
    <w:abstractNumId w:val="11"/>
  </w:num>
  <w:num w:numId="7" w16cid:durableId="156770103">
    <w:abstractNumId w:val="23"/>
  </w:num>
  <w:num w:numId="8" w16cid:durableId="618806000">
    <w:abstractNumId w:val="17"/>
  </w:num>
  <w:num w:numId="9" w16cid:durableId="999774560">
    <w:abstractNumId w:val="5"/>
  </w:num>
  <w:num w:numId="10" w16cid:durableId="663708446">
    <w:abstractNumId w:val="9"/>
  </w:num>
  <w:num w:numId="11" w16cid:durableId="1701130830">
    <w:abstractNumId w:val="10"/>
  </w:num>
  <w:num w:numId="12" w16cid:durableId="630135248">
    <w:abstractNumId w:val="7"/>
  </w:num>
  <w:num w:numId="13" w16cid:durableId="1811904301">
    <w:abstractNumId w:val="22"/>
  </w:num>
  <w:num w:numId="14" w16cid:durableId="581065352">
    <w:abstractNumId w:val="14"/>
  </w:num>
  <w:num w:numId="15" w16cid:durableId="1388840427">
    <w:abstractNumId w:val="25"/>
  </w:num>
  <w:num w:numId="16" w16cid:durableId="608244583">
    <w:abstractNumId w:val="15"/>
  </w:num>
  <w:num w:numId="17" w16cid:durableId="708453431">
    <w:abstractNumId w:val="19"/>
  </w:num>
  <w:num w:numId="18" w16cid:durableId="495534871">
    <w:abstractNumId w:val="20"/>
  </w:num>
  <w:num w:numId="19" w16cid:durableId="493492662">
    <w:abstractNumId w:val="27"/>
  </w:num>
  <w:num w:numId="20" w16cid:durableId="1485511846">
    <w:abstractNumId w:val="3"/>
  </w:num>
  <w:num w:numId="21" w16cid:durableId="1872180010">
    <w:abstractNumId w:val="21"/>
  </w:num>
  <w:num w:numId="22" w16cid:durableId="1781756568">
    <w:abstractNumId w:val="8"/>
  </w:num>
  <w:num w:numId="23" w16cid:durableId="1813404993">
    <w:abstractNumId w:val="6"/>
  </w:num>
  <w:num w:numId="24" w16cid:durableId="170263713">
    <w:abstractNumId w:val="12"/>
  </w:num>
  <w:num w:numId="25" w16cid:durableId="1595430565">
    <w:abstractNumId w:val="24"/>
  </w:num>
  <w:num w:numId="26" w16cid:durableId="209736547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86F40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C200B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B26"/>
    <w:rsid w:val="004D72B6"/>
    <w:rsid w:val="004E38B9"/>
    <w:rsid w:val="004E5F06"/>
    <w:rsid w:val="004F00F5"/>
    <w:rsid w:val="004F5085"/>
    <w:rsid w:val="004F520F"/>
    <w:rsid w:val="00507623"/>
    <w:rsid w:val="00512378"/>
    <w:rsid w:val="005207F0"/>
    <w:rsid w:val="0052525A"/>
    <w:rsid w:val="00527AF5"/>
    <w:rsid w:val="0053633E"/>
    <w:rsid w:val="00536E67"/>
    <w:rsid w:val="00543E12"/>
    <w:rsid w:val="005448BD"/>
    <w:rsid w:val="00544C77"/>
    <w:rsid w:val="0054718C"/>
    <w:rsid w:val="0055192E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01D83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0B00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36E1E"/>
    <w:rsid w:val="00A5094C"/>
    <w:rsid w:val="00A6195C"/>
    <w:rsid w:val="00A83498"/>
    <w:rsid w:val="00A92DD2"/>
    <w:rsid w:val="00AA3B3A"/>
    <w:rsid w:val="00AA43B5"/>
    <w:rsid w:val="00AB13C4"/>
    <w:rsid w:val="00AC0E4C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1351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E74AF"/>
    <w:rsid w:val="00F005B3"/>
    <w:rsid w:val="00F007F5"/>
    <w:rsid w:val="00F0553C"/>
    <w:rsid w:val="00F07AB1"/>
    <w:rsid w:val="00F11D79"/>
    <w:rsid w:val="00F13F0B"/>
    <w:rsid w:val="00F17ECA"/>
    <w:rsid w:val="00F23C51"/>
    <w:rsid w:val="00F27A3F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279AA456"/>
  <w15:chartTrackingRefBased/>
  <w15:docId w15:val="{95EA45A3-57B0-4E6B-B38A-A58BB55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51</TotalTime>
  <Pages>1</Pages>
  <Words>215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Luis Arthur</cp:lastModifiedBy>
  <cp:revision>9</cp:revision>
  <cp:lastPrinted>2015-05-15T12:19:00Z</cp:lastPrinted>
  <dcterms:created xsi:type="dcterms:W3CDTF">2017-02-02T18:28:00Z</dcterms:created>
  <dcterms:modified xsi:type="dcterms:W3CDTF">2022-08-16T17:48:00Z</dcterms:modified>
</cp:coreProperties>
</file>